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24A6" w14:textId="77777777" w:rsidR="00FC5B3B" w:rsidRPr="005F3A19" w:rsidRDefault="00DB33A9" w:rsidP="00877786">
      <w:pPr>
        <w:pStyle w:val="Pa10"/>
        <w:spacing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PCT </w:t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>Trail</w:t>
      </w:r>
      <w:r w:rsidR="00B51509" w:rsidRPr="005F3A19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wide </w:t>
      </w:r>
      <w:r w:rsidR="00DE385B" w:rsidRPr="005F3A19">
        <w:rPr>
          <w:rFonts w:ascii="Arial" w:hAnsi="Arial" w:cs="Arial"/>
          <w:b/>
          <w:bCs/>
          <w:color w:val="000000"/>
          <w:sz w:val="36"/>
          <w:szCs w:val="36"/>
        </w:rPr>
        <w:t>Volunteer</w:t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 Packer </w:t>
      </w:r>
      <w:r w:rsidR="00877786" w:rsidRPr="005F3A1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Reimbursement Program </w:t>
      </w:r>
    </w:p>
    <w:p w14:paraId="42D824A7" w14:textId="77777777" w:rsidR="00877786" w:rsidRPr="005F3A19" w:rsidRDefault="00877786" w:rsidP="00877786">
      <w:pPr>
        <w:spacing w:after="0" w:line="240" w:lineRule="auto"/>
      </w:pPr>
    </w:p>
    <w:p w14:paraId="42D824A8" w14:textId="77777777" w:rsidR="00FC5B3B" w:rsidRPr="005F3A19" w:rsidRDefault="00DB33A9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Thanks to 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he </w:t>
      </w:r>
      <w:r w:rsidR="001B6F36" w:rsidRPr="005F3A19">
        <w:rPr>
          <w:rFonts w:ascii="Times New Roman" w:hAnsi="Times New Roman" w:cs="Times New Roman"/>
          <w:sz w:val="24"/>
          <w:szCs w:val="24"/>
        </w:rPr>
        <w:t>working committee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who volunteered to work on this issue: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John Lyons, Top of the State</w:t>
      </w:r>
      <w:r w:rsidR="00DD5384" w:rsidRPr="005F3A19">
        <w:rPr>
          <w:rFonts w:ascii="Times New Roman" w:hAnsi="Times New Roman" w:cs="Times New Roman"/>
          <w:sz w:val="24"/>
          <w:szCs w:val="24"/>
        </w:rPr>
        <w:t xml:space="preserve"> Unit,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877786" w:rsidRPr="005F3A19">
        <w:rPr>
          <w:rFonts w:ascii="Times New Roman" w:hAnsi="Times New Roman" w:cs="Times New Roman"/>
          <w:sz w:val="24"/>
          <w:szCs w:val="24"/>
        </w:rPr>
        <w:t>Backcountry Horsemen of California</w:t>
      </w:r>
      <w:r w:rsidR="00FC5B3B" w:rsidRPr="005F3A19">
        <w:rPr>
          <w:rFonts w:ascii="Times New Roman" w:hAnsi="Times New Roman" w:cs="Times New Roman"/>
          <w:sz w:val="24"/>
          <w:szCs w:val="24"/>
        </w:rPr>
        <w:t>; Ken Graves, US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F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orest </w:t>
      </w:r>
      <w:r w:rsidR="00FC5B3B" w:rsidRPr="005F3A19">
        <w:rPr>
          <w:rFonts w:ascii="Times New Roman" w:hAnsi="Times New Roman" w:cs="Times New Roman"/>
          <w:sz w:val="24"/>
          <w:szCs w:val="24"/>
        </w:rPr>
        <w:t>S</w:t>
      </w:r>
      <w:r w:rsidR="00877786" w:rsidRPr="005F3A19">
        <w:rPr>
          <w:rFonts w:ascii="Times New Roman" w:hAnsi="Times New Roman" w:cs="Times New Roman"/>
          <w:sz w:val="24"/>
          <w:szCs w:val="24"/>
        </w:rPr>
        <w:t>ervice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Packer</w:t>
      </w:r>
      <w:r w:rsidR="00DD5384" w:rsidRPr="005F3A19">
        <w:rPr>
          <w:rFonts w:ascii="Times New Roman" w:hAnsi="Times New Roman" w:cs="Times New Roman"/>
          <w:sz w:val="24"/>
          <w:szCs w:val="24"/>
        </w:rPr>
        <w:t>,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03587" w:rsidRPr="005F3A19">
        <w:rPr>
          <w:rFonts w:ascii="Times New Roman" w:hAnsi="Times New Roman" w:cs="Times New Roman"/>
          <w:sz w:val="24"/>
          <w:szCs w:val="24"/>
        </w:rPr>
        <w:t>Shasta-Trinity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N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ational </w:t>
      </w:r>
      <w:r w:rsidR="00FC5B3B" w:rsidRPr="005F3A19">
        <w:rPr>
          <w:rFonts w:ascii="Times New Roman" w:hAnsi="Times New Roman" w:cs="Times New Roman"/>
          <w:sz w:val="24"/>
          <w:szCs w:val="24"/>
        </w:rPr>
        <w:t>F</w:t>
      </w:r>
      <w:r w:rsidR="00877786" w:rsidRPr="005F3A19">
        <w:rPr>
          <w:rFonts w:ascii="Times New Roman" w:hAnsi="Times New Roman" w:cs="Times New Roman"/>
          <w:sz w:val="24"/>
          <w:szCs w:val="24"/>
        </w:rPr>
        <w:t>orest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; Mike Dawson, Pacific Crest Trail Association; Beth Boyst,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US Forest Service 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PCT Program Manager and Michael Morse,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US Forest Service </w:t>
      </w:r>
      <w:r w:rsidR="00FC5B3B" w:rsidRPr="005F3A19">
        <w:rPr>
          <w:rFonts w:ascii="Times New Roman" w:hAnsi="Times New Roman" w:cs="Times New Roman"/>
          <w:sz w:val="24"/>
          <w:szCs w:val="24"/>
        </w:rPr>
        <w:t>Packer, Inyo National Forest.</w:t>
      </w:r>
    </w:p>
    <w:p w14:paraId="42D824A9" w14:textId="77777777" w:rsidR="00877786" w:rsidRPr="005F3A19" w:rsidRDefault="00877786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AA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We concur that the current reimbursement situation is insufficient to offset the volunteer packers increased costs for fuel and food.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This reimbursement policy contains our collective efforts to find legal methods to reimburse </w:t>
      </w:r>
      <w:r w:rsidR="00DB33A9" w:rsidRPr="005F3A19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5F3A19">
        <w:rPr>
          <w:rFonts w:ascii="Times New Roman" w:hAnsi="Times New Roman" w:cs="Times New Roman"/>
          <w:sz w:val="24"/>
          <w:szCs w:val="24"/>
        </w:rPr>
        <w:t xml:space="preserve">stock packers in support of the Pacific Crest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National Scenic Trail </w:t>
      </w:r>
      <w:r w:rsidR="001B6F36" w:rsidRPr="005F3A19">
        <w:rPr>
          <w:rFonts w:ascii="Times New Roman" w:hAnsi="Times New Roman" w:cs="Times New Roman"/>
          <w:sz w:val="24"/>
          <w:szCs w:val="24"/>
        </w:rPr>
        <w:t xml:space="preserve">(PCT) </w:t>
      </w:r>
      <w:r w:rsidR="00877786" w:rsidRPr="005F3A19">
        <w:rPr>
          <w:rFonts w:ascii="Times New Roman" w:hAnsi="Times New Roman" w:cs="Times New Roman"/>
          <w:sz w:val="24"/>
          <w:szCs w:val="24"/>
        </w:rPr>
        <w:t>Program.</w:t>
      </w:r>
    </w:p>
    <w:p w14:paraId="42D824AB" w14:textId="77777777" w:rsidR="00877786" w:rsidRPr="005F3A19" w:rsidRDefault="00877786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AC" w14:textId="77777777"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D824AD" w14:textId="77777777" w:rsidR="00877786" w:rsidRPr="005F3A19" w:rsidRDefault="00FC5B3B" w:rsidP="00877786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Principles and Objectives</w:t>
      </w:r>
    </w:p>
    <w:p w14:paraId="42D824AE" w14:textId="77777777"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Packer services are </w:t>
      </w: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essential</w:t>
      </w:r>
      <w:r w:rsidRPr="005F3A19">
        <w:rPr>
          <w:rFonts w:ascii="Times New Roman" w:hAnsi="Times New Roman" w:cs="Times New Roman"/>
          <w:sz w:val="24"/>
          <w:szCs w:val="24"/>
        </w:rPr>
        <w:t xml:space="preserve"> to completing volunteer and youth corps work on the </w:t>
      </w:r>
      <w:r w:rsidR="001B6F36" w:rsidRPr="005F3A19">
        <w:rPr>
          <w:rFonts w:ascii="Times New Roman" w:hAnsi="Times New Roman" w:cs="Times New Roman"/>
          <w:sz w:val="24"/>
          <w:szCs w:val="24"/>
        </w:rPr>
        <w:t>PCT</w:t>
      </w:r>
      <w:r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USFS packing support is limited and partnering with Backcountry Horseman of America and other equestrians groups throughout California, </w:t>
      </w:r>
      <w:r w:rsidR="001B6F36" w:rsidRPr="005F3A19">
        <w:rPr>
          <w:rFonts w:ascii="Times New Roman" w:hAnsi="Times New Roman" w:cs="Times New Roman"/>
          <w:sz w:val="24"/>
          <w:szCs w:val="24"/>
        </w:rPr>
        <w:t>Oregon, and Washington</w:t>
      </w:r>
      <w:r w:rsidRPr="005F3A19">
        <w:rPr>
          <w:rFonts w:ascii="Times New Roman" w:hAnsi="Times New Roman" w:cs="Times New Roman"/>
          <w:sz w:val="24"/>
          <w:szCs w:val="24"/>
        </w:rPr>
        <w:t xml:space="preserve"> is essential to continue to maintain the PCT and provide outstanding recreational opportunities on the trail.</w:t>
      </w:r>
    </w:p>
    <w:p w14:paraId="42D824AF" w14:textId="77777777" w:rsidR="002A6018" w:rsidRPr="005F3A19" w:rsidRDefault="002A6018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For the purposes of this reimbursement policy, a volunteer packer is defined as an equestrian volunteer that is transporting a crew’s tools, gear, food, and/or equipment. It is not intended to reimburse individual equestrians performing volunteer trail maintenance duties or typically to support single day projects. For safety reasons, a volunteer assistant packer may also be authorized for reimbursement.</w:t>
      </w:r>
    </w:p>
    <w:p w14:paraId="42D824B0" w14:textId="77777777"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We must meet the legal requirements of USFS policies for reimbursement of sponsored volunteer and challenge cost share agreements.</w:t>
      </w:r>
    </w:p>
    <w:p w14:paraId="42D824B1" w14:textId="77777777"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The reimbursement policy will be applied trail-wide.</w:t>
      </w:r>
    </w:p>
    <w:p w14:paraId="42D824B2" w14:textId="77777777"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Agreement (USFS, PCTA, </w:t>
      </w:r>
      <w:r w:rsidR="001B6F36" w:rsidRPr="005F3A19">
        <w:rPr>
          <w:rFonts w:ascii="Times New Roman" w:hAnsi="Times New Roman" w:cs="Times New Roman"/>
          <w:sz w:val="24"/>
          <w:szCs w:val="24"/>
        </w:rPr>
        <w:t>Ba</w:t>
      </w:r>
      <w:r w:rsidR="006044CC" w:rsidRPr="005F3A19">
        <w:rPr>
          <w:rFonts w:ascii="Times New Roman" w:hAnsi="Times New Roman" w:cs="Times New Roman"/>
          <w:sz w:val="24"/>
          <w:szCs w:val="24"/>
        </w:rPr>
        <w:t>ckcountry Horsemen of CA, OR, and WA, and other equestrian volunteer organizations</w:t>
      </w:r>
      <w:r w:rsidRPr="005F3A19">
        <w:rPr>
          <w:rFonts w:ascii="Times New Roman" w:hAnsi="Times New Roman" w:cs="Times New Roman"/>
          <w:sz w:val="24"/>
          <w:szCs w:val="24"/>
        </w:rPr>
        <w:t>) on which priority packing projects will be reimbursed should be finalized prior to season’s work beginning.</w:t>
      </w:r>
    </w:p>
    <w:p w14:paraId="42D824B3" w14:textId="77777777"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24B4" w14:textId="77777777"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24B5" w14:textId="77777777" w:rsidR="00FC5B3B" w:rsidRPr="005F3A19" w:rsidRDefault="001B6F36" w:rsidP="0087778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sz w:val="28"/>
          <w:szCs w:val="28"/>
          <w:u w:val="single"/>
        </w:rPr>
        <w:t>Trail</w:t>
      </w:r>
      <w:r w:rsidR="00141C48" w:rsidRPr="005F3A19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FC5B3B" w:rsidRPr="005F3A19">
        <w:rPr>
          <w:rFonts w:ascii="Arial" w:hAnsi="Arial" w:cs="Arial"/>
          <w:b/>
          <w:bCs/>
          <w:sz w:val="28"/>
          <w:szCs w:val="28"/>
          <w:u w:val="single"/>
        </w:rPr>
        <w:t>wide Reimbursement Policy</w:t>
      </w:r>
      <w:r w:rsidR="00971B2B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and Animal Liability</w:t>
      </w:r>
      <w:r w:rsidR="00FC5B3B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2D824B6" w14:textId="77777777" w:rsidR="00141C48" w:rsidRPr="005F3A19" w:rsidRDefault="00FC5B3B" w:rsidP="00141C4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The Volunteers in the National Forests Act of 1972 as amended (PL 92-300) authorizes the expenditure of appropriated funds to cover certain approved expenses incurred by volunteers as part of their service.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The </w:t>
      </w:r>
      <w:r w:rsidR="001B6F36" w:rsidRPr="005F3A19">
        <w:rPr>
          <w:rFonts w:ascii="Times New Roman" w:hAnsi="Times New Roman" w:cs="Times New Roman"/>
          <w:sz w:val="24"/>
          <w:szCs w:val="24"/>
        </w:rPr>
        <w:t>USFS</w:t>
      </w:r>
      <w:r w:rsidRPr="005F3A19">
        <w:rPr>
          <w:rFonts w:ascii="Times New Roman" w:hAnsi="Times New Roman" w:cs="Times New Roman"/>
          <w:sz w:val="24"/>
          <w:szCs w:val="24"/>
        </w:rPr>
        <w:t xml:space="preserve"> has authority to reimburse volunteers for expenses that adhere to existing tax code and appropriation law.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>Reimbursement is meant to offset the personal cost of volunteering and in no way should be considered salary or be approved in lieu of pay.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>The Forest Service revised FSM 1833.5 in 2011 as a result of an Internal Revenue Service audit finding applicable to volunteer reimbursement by all public lands agencies.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>The revised policy will provide necessary compliance with Federal revenue law (Internal Revenue Code 170) governing charitable contributions and volunteer reimbursements and insure that volunteers are not placed in a taxable situation.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 xml:space="preserve">A taxable </w:t>
      </w:r>
      <w:r w:rsidR="002670C5" w:rsidRPr="005F3A19">
        <w:rPr>
          <w:rFonts w:ascii="Times New Roman" w:hAnsi="Times New Roman" w:cs="Times New Roman"/>
          <w:sz w:val="24"/>
          <w:szCs w:val="24"/>
        </w:rPr>
        <w:lastRenderedPageBreak/>
        <w:t>situation can result if volunteers receive reimbursements above what is allowable by law.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141C48" w:rsidRPr="005F3A19">
        <w:rPr>
          <w:rFonts w:ascii="Times New Roman" w:hAnsi="Times New Roman" w:cs="Times New Roman"/>
          <w:sz w:val="24"/>
          <w:szCs w:val="24"/>
        </w:rPr>
        <w:t>Website references are as follows:</w:t>
      </w:r>
      <w:r w:rsidR="002670C5" w:rsidRPr="005F3A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670C5" w:rsidRPr="005F3A19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</w:rPr>
          <w:t>https://fs.usda.gov/FSI_Directives/wo_1830.doc</w:t>
        </w:r>
      </w:hyperlink>
      <w:r w:rsidR="00DD5384" w:rsidRPr="005F3A19">
        <w:rPr>
          <w:rFonts w:ascii="Times New Roman" w:eastAsia="Times New Roman" w:hAnsi="Times New Roman" w:cs="Times New Roman"/>
          <w:iCs/>
          <w:sz w:val="24"/>
          <w:szCs w:val="24"/>
        </w:rPr>
        <w:t>; or</w:t>
      </w:r>
    </w:p>
    <w:p w14:paraId="42D824B7" w14:textId="77777777" w:rsidR="002670C5" w:rsidRPr="005F3A19" w:rsidRDefault="002670C5" w:rsidP="00141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eastAsia="Times New Roman" w:hAnsi="Times New Roman" w:cs="Times New Roman"/>
          <w:iCs/>
          <w:sz w:val="24"/>
          <w:szCs w:val="24"/>
        </w:rPr>
        <w:t>http://www.fs.fed.us/t-d/pubs/h</w:t>
      </w:r>
      <w:r w:rsidR="00794885" w:rsidRPr="005F3A19">
        <w:rPr>
          <w:rFonts w:ascii="Times New Roman" w:eastAsia="Times New Roman" w:hAnsi="Times New Roman" w:cs="Times New Roman"/>
          <w:iCs/>
          <w:sz w:val="24"/>
          <w:szCs w:val="24"/>
        </w:rPr>
        <w:t xml:space="preserve">tmlpubs/htm09672814/page20.htm </w:t>
      </w:r>
    </w:p>
    <w:p w14:paraId="42D824B8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D824B9" w14:textId="77777777" w:rsidR="00DD5384" w:rsidRPr="005F3A19" w:rsidRDefault="00DD5384" w:rsidP="0087778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D824BA" w14:textId="77777777" w:rsidR="00141C48" w:rsidRPr="005F3A19" w:rsidRDefault="00141C48" w:rsidP="0087778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sz w:val="28"/>
          <w:szCs w:val="28"/>
          <w:u w:val="single"/>
        </w:rPr>
        <w:t>1.</w:t>
      </w:r>
      <w:r w:rsidR="000D5100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F3A19">
        <w:rPr>
          <w:rFonts w:ascii="Arial" w:hAnsi="Arial" w:cs="Arial"/>
          <w:b/>
          <w:bCs/>
          <w:sz w:val="28"/>
          <w:szCs w:val="28"/>
          <w:u w:val="single"/>
        </w:rPr>
        <w:t>PCTA Sponsored Volunteer Packer Reimbursement</w:t>
      </w:r>
    </w:p>
    <w:p w14:paraId="42D824BB" w14:textId="77777777" w:rsidR="00BD7E52" w:rsidRPr="005F3A19" w:rsidRDefault="00BD7E52" w:rsidP="00BD7E52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Volunteer packers </w:t>
      </w:r>
      <w:r w:rsidR="001A399A" w:rsidRPr="005F3A19">
        <w:rPr>
          <w:rFonts w:ascii="Times New Roman" w:hAnsi="Times New Roman" w:cs="Times New Roman"/>
          <w:sz w:val="24"/>
          <w:szCs w:val="24"/>
        </w:rPr>
        <w:t>can</w:t>
      </w:r>
      <w:r w:rsidRPr="005F3A19">
        <w:rPr>
          <w:rFonts w:ascii="Times New Roman" w:hAnsi="Times New Roman" w:cs="Times New Roman"/>
          <w:sz w:val="24"/>
          <w:szCs w:val="24"/>
        </w:rPr>
        <w:t xml:space="preserve"> propose potential projects and budgets to their local PCTA Regional Reps for approval prior to executing the project. </w:t>
      </w:r>
    </w:p>
    <w:p w14:paraId="42D824BC" w14:textId="77777777" w:rsidR="00BD7E52" w:rsidRPr="005F3A19" w:rsidRDefault="00BD7E52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D824BD" w14:textId="77777777" w:rsidR="00141C48" w:rsidRPr="005F3A19" w:rsidRDefault="00141C48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</w:t>
      </w:r>
      <w:r w:rsidR="006044CC"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Authorization Process for Volunteer Packers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Packers authorized for reimbursement through PCTA’s 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 xml:space="preserve">sponsored </w:t>
      </w:r>
      <w:r w:rsidRPr="005F3A19">
        <w:rPr>
          <w:rFonts w:ascii="Times New Roman" w:hAnsi="Times New Roman" w:cs="Times New Roman"/>
          <w:bCs/>
          <w:sz w:val="24"/>
          <w:szCs w:val="24"/>
        </w:rPr>
        <w:t>volunteer program are identified in the pre-project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 xml:space="preserve"> planning</w:t>
      </w:r>
      <w:r w:rsidRPr="005F3A19">
        <w:rPr>
          <w:rFonts w:ascii="Times New Roman" w:hAnsi="Times New Roman" w:cs="Times New Roman"/>
          <w:bCs/>
          <w:sz w:val="24"/>
          <w:szCs w:val="24"/>
        </w:rPr>
        <w:t>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bCs/>
          <w:sz w:val="24"/>
          <w:szCs w:val="24"/>
        </w:rPr>
        <w:t>At that time, the project budget – including the number of packers to be reimbursed, approximate mileage reimbursement, and incidental expenses will be identified.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>The authorized packer may invite other equestrians to attend the project and assist with packing noting that only the pre-authorized packers will be reimbursed for expenses.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D824BE" w14:textId="77777777" w:rsidR="00141C48" w:rsidRPr="005F3A19" w:rsidRDefault="00141C48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24BF" w14:textId="77777777" w:rsidR="00FC5B3B" w:rsidRPr="005F3A19" w:rsidRDefault="006044CC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b) Reimbursed Expenses: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Within the </w:t>
      </w:r>
      <w:r w:rsidR="001B6F36" w:rsidRPr="005F3A19">
        <w:rPr>
          <w:rFonts w:ascii="Times New Roman" w:hAnsi="Times New Roman" w:cs="Times New Roman"/>
          <w:bCs/>
          <w:sz w:val="24"/>
          <w:szCs w:val="24"/>
        </w:rPr>
        <w:t>PCTA’s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 Challenge Cost Share Agreements, sponsored volunteer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 packers may be reimbursed for </w:t>
      </w:r>
      <w:proofErr w:type="spellStart"/>
      <w:r w:rsidRPr="005F3A1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) Transportation </w:t>
      </w:r>
      <w:r w:rsidR="001B6F36" w:rsidRPr="005F3A19">
        <w:rPr>
          <w:rFonts w:ascii="Times New Roman" w:hAnsi="Times New Roman" w:cs="Times New Roman"/>
          <w:bCs/>
          <w:sz w:val="24"/>
          <w:szCs w:val="24"/>
        </w:rPr>
        <w:t>C</w:t>
      </w:r>
      <w:r w:rsidRPr="005F3A19">
        <w:rPr>
          <w:rFonts w:ascii="Times New Roman" w:hAnsi="Times New Roman" w:cs="Times New Roman"/>
          <w:bCs/>
          <w:sz w:val="24"/>
          <w:szCs w:val="24"/>
        </w:rPr>
        <w:t>osts</w:t>
      </w:r>
      <w:r w:rsidR="00794885" w:rsidRPr="005F3A19">
        <w:rPr>
          <w:rFonts w:ascii="Times New Roman" w:hAnsi="Times New Roman" w:cs="Times New Roman"/>
          <w:bCs/>
          <w:sz w:val="24"/>
          <w:szCs w:val="24"/>
        </w:rPr>
        <w:t>;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 ii) Food/Meals; and iii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>) Incidental Expenses</w:t>
      </w:r>
      <w:r w:rsidR="001B6F36" w:rsidRPr="005F3A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D824C0" w14:textId="77777777"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24C1" w14:textId="77777777" w:rsidR="00FC5B3B" w:rsidRPr="005F3A19" w:rsidRDefault="002B312B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) Transportation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Costs</w:t>
      </w:r>
      <w:r w:rsidR="001B6F36" w:rsidRPr="005F3A19">
        <w:rPr>
          <w:rFonts w:ascii="Times New Roman" w:hAnsi="Times New Roman" w:cs="Times New Roman"/>
          <w:sz w:val="24"/>
          <w:szCs w:val="24"/>
        </w:rPr>
        <w:t>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3C3B2B" w:rsidRPr="005F3A19">
        <w:rPr>
          <w:rFonts w:ascii="Times New Roman" w:hAnsi="Times New Roman" w:cs="Times New Roman"/>
          <w:sz w:val="24"/>
          <w:szCs w:val="24"/>
        </w:rPr>
        <w:t>Authorized v</w:t>
      </w:r>
      <w:r w:rsidR="00FC5B3B" w:rsidRPr="005F3A19">
        <w:rPr>
          <w:rFonts w:ascii="Times New Roman" w:hAnsi="Times New Roman" w:cs="Times New Roman"/>
          <w:sz w:val="24"/>
          <w:szCs w:val="24"/>
        </w:rPr>
        <w:t>olunteer</w:t>
      </w:r>
      <w:r w:rsidR="003C3B2B" w:rsidRPr="005F3A19">
        <w:rPr>
          <w:rFonts w:ascii="Times New Roman" w:hAnsi="Times New Roman" w:cs="Times New Roman"/>
          <w:sz w:val="24"/>
          <w:szCs w:val="24"/>
        </w:rPr>
        <w:t>s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3C3B2B" w:rsidRPr="005F3A19">
        <w:rPr>
          <w:rFonts w:ascii="Times New Roman" w:hAnsi="Times New Roman" w:cs="Times New Roman"/>
          <w:sz w:val="24"/>
          <w:szCs w:val="24"/>
        </w:rPr>
        <w:t>who are hauling stock or tools</w:t>
      </w:r>
      <w:r w:rsidR="00141C48" w:rsidRPr="005F3A19">
        <w:rPr>
          <w:rFonts w:ascii="Times New Roman" w:hAnsi="Times New Roman" w:cs="Times New Roman"/>
          <w:sz w:val="24"/>
          <w:szCs w:val="24"/>
        </w:rPr>
        <w:t xml:space="preserve"> on a project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will be reimbursed for mileage costs incurred on the way from their residence to the trailhead/work site, and on the return trip from the trailhead/work site back to their residence at the rate of $0.80/mile.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We will continue to monitor gas prices and may switch to actual expenses for gas receipts – whichever provides a higher reimbursement.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If a detour is taken for personal business along the route, no additional mileage costs may be charged.</w:t>
      </w:r>
    </w:p>
    <w:p w14:paraId="42D824C2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C3" w14:textId="77777777" w:rsidR="00FC5B3B" w:rsidRPr="005F3A19" w:rsidRDefault="006044CC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ii) 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>Food/Meals: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Generally, meals are a personal expense.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However, funds may be used to purchase food for volunteers if the volunteer will be working in an area where access to normal sources of food supplies and/or meals is not available or reasonably accessible.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If meals are not provided, to standardize the reimbursement across 26 national forest</w:t>
      </w:r>
      <w:r w:rsidR="00025AFA" w:rsidRPr="005F3A19">
        <w:rPr>
          <w:rFonts w:ascii="Times New Roman" w:hAnsi="Times New Roman" w:cs="Times New Roman"/>
          <w:sz w:val="24"/>
          <w:szCs w:val="24"/>
        </w:rPr>
        <w:t xml:space="preserve"> units</w:t>
      </w:r>
      <w:r w:rsidR="00FC5B3B" w:rsidRPr="005F3A19">
        <w:rPr>
          <w:rFonts w:ascii="Times New Roman" w:hAnsi="Times New Roman" w:cs="Times New Roman"/>
          <w:sz w:val="24"/>
          <w:szCs w:val="24"/>
        </w:rPr>
        <w:t>, a field per diem rate of 75% of CONUS/per day (2012 rate of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$46 will be reimbursed rounded to the closest dollar = $35.00/day</w:t>
      </w:r>
      <w:r w:rsidR="008B23C6" w:rsidRPr="005F3A19">
        <w:rPr>
          <w:rFonts w:ascii="Times New Roman" w:hAnsi="Times New Roman" w:cs="Times New Roman"/>
          <w:sz w:val="24"/>
          <w:szCs w:val="24"/>
        </w:rPr>
        <w:t>)</w:t>
      </w:r>
      <w:r w:rsidR="00FC5B3B"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(</w:t>
      </w:r>
      <w:r w:rsidR="00FC5B3B" w:rsidRPr="005F3A19">
        <w:rPr>
          <w:rFonts w:ascii="Times New Roman" w:hAnsi="Times New Roman" w:cs="Times New Roman"/>
          <w:b/>
          <w:sz w:val="24"/>
          <w:szCs w:val="24"/>
        </w:rPr>
        <w:t>Note</w:t>
      </w:r>
      <w:r w:rsidR="001B6F36" w:rsidRPr="005F3A19">
        <w:rPr>
          <w:rFonts w:ascii="Times New Roman" w:hAnsi="Times New Roman" w:cs="Times New Roman"/>
          <w:b/>
          <w:sz w:val="24"/>
          <w:szCs w:val="24"/>
        </w:rPr>
        <w:t>: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Region 6 uses the 75% of CONUS as the field per diem rate and R5 does not have a field per diem rate).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When meals are provided, the value of those meals as outlined below will be subtracted from the reimbursement.</w:t>
      </w:r>
    </w:p>
    <w:p w14:paraId="42D824C4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352" w:type="pct"/>
        <w:jc w:val="center"/>
        <w:tblLook w:val="04A0" w:firstRow="1" w:lastRow="0" w:firstColumn="1" w:lastColumn="0" w:noHBand="0" w:noVBand="1"/>
      </w:tblPr>
      <w:tblGrid>
        <w:gridCol w:w="3507"/>
        <w:gridCol w:w="828"/>
      </w:tblGrid>
      <w:tr w:rsidR="008B23C6" w:rsidRPr="005F3A19" w14:paraId="42D824C6" w14:textId="77777777" w:rsidTr="008B23C6">
        <w:trPr>
          <w:trHeight w:val="326"/>
          <w:jc w:val="center"/>
        </w:trPr>
        <w:tc>
          <w:tcPr>
            <w:tcW w:w="5000" w:type="pct"/>
            <w:gridSpan w:val="2"/>
            <w:hideMark/>
          </w:tcPr>
          <w:p w14:paraId="42D824C5" w14:textId="77777777" w:rsidR="008B23C6" w:rsidRPr="005F3A19" w:rsidRDefault="008B23C6" w:rsidP="001B6F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 Diem Rate Per Meal</w:t>
            </w:r>
          </w:p>
        </w:tc>
      </w:tr>
      <w:tr w:rsidR="008B23C6" w:rsidRPr="005F3A19" w14:paraId="42D824C9" w14:textId="77777777" w:rsidTr="008B23C6">
        <w:trPr>
          <w:trHeight w:val="326"/>
          <w:jc w:val="center"/>
        </w:trPr>
        <w:tc>
          <w:tcPr>
            <w:tcW w:w="4161" w:type="pct"/>
            <w:hideMark/>
          </w:tcPr>
          <w:p w14:paraId="42D824C7" w14:textId="77777777"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Continental Breakfast/ Breakfast</w:t>
            </w:r>
          </w:p>
        </w:tc>
        <w:tc>
          <w:tcPr>
            <w:tcW w:w="839" w:type="pct"/>
            <w:hideMark/>
          </w:tcPr>
          <w:p w14:paraId="42D824C8" w14:textId="77777777" w:rsidR="008B23C6" w:rsidRPr="005F3A19" w:rsidRDefault="008B23C6" w:rsidP="008B23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$5.25</w:t>
            </w:r>
          </w:p>
        </w:tc>
      </w:tr>
      <w:tr w:rsidR="008B23C6" w:rsidRPr="005F3A19" w14:paraId="42D824CC" w14:textId="77777777" w:rsidTr="008B23C6">
        <w:trPr>
          <w:trHeight w:val="326"/>
          <w:jc w:val="center"/>
        </w:trPr>
        <w:tc>
          <w:tcPr>
            <w:tcW w:w="4161" w:type="pct"/>
            <w:hideMark/>
          </w:tcPr>
          <w:p w14:paraId="42D824CA" w14:textId="77777777"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Lunch</w:t>
            </w:r>
          </w:p>
        </w:tc>
        <w:tc>
          <w:tcPr>
            <w:tcW w:w="839" w:type="pct"/>
            <w:hideMark/>
          </w:tcPr>
          <w:p w14:paraId="42D824CB" w14:textId="77777777"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$8.25</w:t>
            </w:r>
          </w:p>
        </w:tc>
      </w:tr>
      <w:tr w:rsidR="008B23C6" w:rsidRPr="005F3A19" w14:paraId="42D824CF" w14:textId="77777777" w:rsidTr="008B23C6">
        <w:trPr>
          <w:trHeight w:val="326"/>
          <w:jc w:val="center"/>
        </w:trPr>
        <w:tc>
          <w:tcPr>
            <w:tcW w:w="4161" w:type="pct"/>
            <w:hideMark/>
          </w:tcPr>
          <w:p w14:paraId="42D824CD" w14:textId="77777777"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Dinner</w:t>
            </w:r>
          </w:p>
        </w:tc>
        <w:tc>
          <w:tcPr>
            <w:tcW w:w="839" w:type="pct"/>
            <w:hideMark/>
          </w:tcPr>
          <w:p w14:paraId="42D824CE" w14:textId="77777777"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$17.25</w:t>
            </w:r>
          </w:p>
        </w:tc>
      </w:tr>
      <w:tr w:rsidR="008B23C6" w:rsidRPr="005F3A19" w14:paraId="42D824D2" w14:textId="77777777" w:rsidTr="008B23C6">
        <w:trPr>
          <w:trHeight w:val="326"/>
          <w:jc w:val="center"/>
        </w:trPr>
        <w:tc>
          <w:tcPr>
            <w:tcW w:w="4161" w:type="pct"/>
            <w:hideMark/>
          </w:tcPr>
          <w:p w14:paraId="42D824D0" w14:textId="77777777" w:rsidR="008B23C6" w:rsidRPr="005F3A19" w:rsidRDefault="00330623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Snacks/</w:t>
            </w:r>
            <w:r w:rsidR="008B23C6"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Incidentals</w:t>
            </w:r>
          </w:p>
        </w:tc>
        <w:tc>
          <w:tcPr>
            <w:tcW w:w="839" w:type="pct"/>
            <w:hideMark/>
          </w:tcPr>
          <w:p w14:paraId="42D824D1" w14:textId="77777777"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$3.75</w:t>
            </w:r>
          </w:p>
        </w:tc>
      </w:tr>
    </w:tbl>
    <w:p w14:paraId="42D824D3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D4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824D5" w14:textId="77777777" w:rsidR="00FC5B3B" w:rsidRPr="005F3A19" w:rsidRDefault="006044CC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iii) 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>Incidental Expenses</w:t>
      </w:r>
      <w:r w:rsidR="00FC5B3B"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Incidental expenses must be approved by the </w:t>
      </w:r>
      <w:r w:rsidR="001B6F36" w:rsidRPr="005F3A19">
        <w:rPr>
          <w:rFonts w:ascii="Times New Roman" w:hAnsi="Times New Roman" w:cs="Times New Roman"/>
          <w:sz w:val="24"/>
          <w:szCs w:val="24"/>
        </w:rPr>
        <w:t>PCTA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in advance to ensure that there is sufficient budget available.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824D6" w14:textId="77777777" w:rsidR="001B6F36" w:rsidRPr="005F3A19" w:rsidRDefault="001B6F36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D7" w14:textId="77777777" w:rsidR="00FC5B3B" w:rsidRPr="005F3A19" w:rsidRDefault="00FC5B3B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Volunteers may be reimbursed for incidental expenses incurred that are required and/or directly related to their service such </w:t>
      </w:r>
      <w:r w:rsidR="00236027" w:rsidRPr="005F3A19">
        <w:rPr>
          <w:rFonts w:ascii="Times New Roman" w:hAnsi="Times New Roman" w:cs="Times New Roman"/>
          <w:sz w:val="24"/>
          <w:szCs w:val="24"/>
        </w:rPr>
        <w:t xml:space="preserve">as supplies, </w:t>
      </w:r>
      <w:r w:rsidRPr="005F3A19">
        <w:rPr>
          <w:rFonts w:ascii="Times New Roman" w:hAnsi="Times New Roman" w:cs="Times New Roman"/>
          <w:sz w:val="24"/>
          <w:szCs w:val="24"/>
        </w:rPr>
        <w:t xml:space="preserve">propane, and feed for stock. </w:t>
      </w:r>
    </w:p>
    <w:p w14:paraId="42D824D8" w14:textId="77777777" w:rsidR="001B6F36" w:rsidRPr="005F3A19" w:rsidRDefault="001B6F36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24D9" w14:textId="77777777" w:rsidR="00FC5B3B" w:rsidRPr="005F3A19" w:rsidRDefault="00FC5B3B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Actual expense receipts must be submitted and be within the project budget.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36027" w:rsidRPr="005F3A19">
        <w:rPr>
          <w:rFonts w:ascii="Times New Roman" w:hAnsi="Times New Roman" w:cs="Times New Roman"/>
          <w:sz w:val="24"/>
          <w:szCs w:val="24"/>
        </w:rPr>
        <w:t>If items are purchased in bulk, a reimbursement request may be submitted at the end of the season (October 31</w:t>
      </w:r>
      <w:r w:rsidR="00236027" w:rsidRPr="005F3A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36027" w:rsidRPr="005F3A19">
        <w:rPr>
          <w:rFonts w:ascii="Times New Roman" w:hAnsi="Times New Roman" w:cs="Times New Roman"/>
          <w:sz w:val="24"/>
          <w:szCs w:val="24"/>
        </w:rPr>
        <w:t>) to cover the portion used.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36027" w:rsidRPr="005F3A19">
        <w:rPr>
          <w:rFonts w:ascii="Times New Roman" w:hAnsi="Times New Roman" w:cs="Times New Roman"/>
          <w:sz w:val="24"/>
          <w:szCs w:val="24"/>
        </w:rPr>
        <w:t>Along with the receipt, a description of quantity used is required.</w:t>
      </w:r>
    </w:p>
    <w:p w14:paraId="42D824DA" w14:textId="77777777" w:rsidR="001B6F36" w:rsidRPr="005F3A19" w:rsidRDefault="001B6F36" w:rsidP="0087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824DB" w14:textId="77777777" w:rsidR="001B6F36" w:rsidRPr="005F3A19" w:rsidRDefault="001B6F36" w:rsidP="0087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824DC" w14:textId="77777777" w:rsidR="00FC5B3B" w:rsidRPr="005F3A19" w:rsidRDefault="00141C48" w:rsidP="001B6F3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F3A19">
        <w:rPr>
          <w:rFonts w:ascii="Arial" w:hAnsi="Arial" w:cs="Arial"/>
          <w:b/>
          <w:sz w:val="28"/>
          <w:szCs w:val="28"/>
          <w:u w:val="single"/>
        </w:rPr>
        <w:t>2.</w:t>
      </w:r>
      <w:r w:rsidR="000D5100" w:rsidRPr="005F3A1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C5B3B" w:rsidRPr="005F3A19">
        <w:rPr>
          <w:rFonts w:ascii="Arial" w:hAnsi="Arial" w:cs="Arial"/>
          <w:b/>
          <w:sz w:val="28"/>
          <w:szCs w:val="28"/>
          <w:u w:val="single"/>
        </w:rPr>
        <w:t>Payment for Services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 and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O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ther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T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ypes of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F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unding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A</w:t>
      </w:r>
      <w:r w:rsidRPr="005F3A19">
        <w:rPr>
          <w:rFonts w:ascii="Arial" w:hAnsi="Arial" w:cs="Arial"/>
          <w:b/>
          <w:sz w:val="28"/>
          <w:szCs w:val="28"/>
          <w:u w:val="single"/>
        </w:rPr>
        <w:t>greements</w:t>
      </w:r>
      <w:r w:rsidR="006044CC" w:rsidRPr="005F3A1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2D824DD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In situations where the above reimbursement is insufficient, the packer or organization, may work directly with national forests to develop alternative reimbursement methods.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The Forest and/or packer would be responsible for securing funds for the </w:t>
      </w:r>
      <w:r w:rsidR="00D007D0" w:rsidRPr="005F3A19">
        <w:rPr>
          <w:rFonts w:ascii="Times New Roman" w:hAnsi="Times New Roman" w:cs="Times New Roman"/>
          <w:sz w:val="24"/>
          <w:szCs w:val="24"/>
        </w:rPr>
        <w:t>alternative</w:t>
      </w:r>
      <w:r w:rsidRPr="005F3A19">
        <w:rPr>
          <w:rFonts w:ascii="Times New Roman" w:hAnsi="Times New Roman" w:cs="Times New Roman"/>
          <w:sz w:val="24"/>
          <w:szCs w:val="24"/>
        </w:rPr>
        <w:t xml:space="preserve"> reimbursement.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>Examples of alternatives are listed below:</w:t>
      </w:r>
    </w:p>
    <w:p w14:paraId="42D824DE" w14:textId="77777777" w:rsidR="00FC5B3B" w:rsidRPr="005F3A19" w:rsidRDefault="00141C48" w:rsidP="00141C4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a) </w:t>
      </w:r>
      <w:r w:rsidR="00FC5B3B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Challenge Cost Share Agreements:</w:t>
      </w:r>
      <w:r w:rsidR="00877786" w:rsidRPr="005F3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BCHA or other equestrian groups can enter into a challenge cost share agreement with a Forest to have packing expenses covered.</w:t>
      </w:r>
      <w:r w:rsidR="00877786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These may include a cost per day for stock, per diem, and mileage reimbursements.</w:t>
      </w:r>
      <w:r w:rsidR="00877786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2D824DF" w14:textId="77777777"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D824E0" w14:textId="77777777" w:rsidR="00141C48" w:rsidRPr="005F3A19" w:rsidRDefault="00141C48" w:rsidP="006044CC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b) </w:t>
      </w:r>
      <w:r w:rsidR="00FC5B3B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Procurement of Services:</w:t>
      </w:r>
      <w:r w:rsidR="00877786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micro-purchase threshold for services is $2500 (must be a no more than $2500 within one field season) without </w:t>
      </w:r>
      <w:r w:rsidR="00FC5B3B" w:rsidRPr="005F3A19">
        <w:rPr>
          <w:rFonts w:ascii="Times New Roman" w:hAnsi="Times New Roman" w:cs="Times New Roman"/>
          <w:sz w:val="24"/>
          <w:szCs w:val="24"/>
        </w:rPr>
        <w:t>competitive quotations for micro-purchases as long as the price to be reasonable.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Packers could be paid an increased amount for services but would not be considered volunteers and covered under workman’s compensation.</w:t>
      </w:r>
    </w:p>
    <w:p w14:paraId="42D824E1" w14:textId="77777777" w:rsidR="00141C48" w:rsidRPr="005F3A19" w:rsidRDefault="00141C48" w:rsidP="00141C48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D824E2" w14:textId="77777777" w:rsidR="00DD5384" w:rsidRPr="005F3A19" w:rsidRDefault="00DD5384" w:rsidP="00141C48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D824E3" w14:textId="77777777" w:rsidR="00141C48" w:rsidRPr="005F3A19" w:rsidRDefault="00141C48" w:rsidP="006044C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3.</w:t>
      </w:r>
      <w:r w:rsidR="000D5100"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DD5384" w:rsidRPr="005F3A19">
        <w:rPr>
          <w:rFonts w:ascii="Arial" w:hAnsi="Arial" w:cs="Arial"/>
          <w:b/>
          <w:color w:val="000000"/>
          <w:sz w:val="28"/>
          <w:szCs w:val="28"/>
          <w:u w:val="single"/>
        </w:rPr>
        <w:t>Animal Liability</w:t>
      </w:r>
    </w:p>
    <w:p w14:paraId="42D824E4" w14:textId="77777777" w:rsidR="00FC5B3B" w:rsidRPr="001B6F36" w:rsidRDefault="00FC5B3B" w:rsidP="006044C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B6F36" w:rsidRPr="005F3A19">
        <w:rPr>
          <w:rFonts w:ascii="Times New Roman" w:hAnsi="Times New Roman" w:cs="Times New Roman"/>
          <w:color w:val="000000"/>
          <w:sz w:val="24"/>
          <w:szCs w:val="24"/>
        </w:rPr>
        <w:t>USFS</w:t>
      </w: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 is liable only for equipment and animals required for service if an </w:t>
      </w:r>
      <w:r w:rsidRPr="005F3A19">
        <w:rPr>
          <w:rFonts w:ascii="Times New Roman" w:hAnsi="Times New Roman" w:cs="Times New Roman"/>
          <w:b/>
          <w:i/>
          <w:color w:val="000000"/>
          <w:sz w:val="24"/>
          <w:szCs w:val="24"/>
        </w:rPr>
        <w:t>equipment rental agreement</w:t>
      </w: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 is specifically executed with the individual volunteer and the local Forest.</w:t>
      </w:r>
      <w:r w:rsidRPr="001B6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D824E5" w14:textId="77777777" w:rsidR="00FC5B3B" w:rsidRPr="00877786" w:rsidRDefault="00FC5B3B" w:rsidP="0087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824E6" w14:textId="77777777" w:rsidR="002306C4" w:rsidRPr="00877786" w:rsidRDefault="002306C4" w:rsidP="0087778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2306C4" w:rsidRPr="00877786" w:rsidSect="00DF45FD">
      <w:footerReference w:type="default" r:id="rId9"/>
      <w:footerReference w:type="first" r:id="rId10"/>
      <w:pgSz w:w="12240" w:h="15840" w:code="1"/>
      <w:pgMar w:top="1440" w:right="1440" w:bottom="1152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D7E2" w14:textId="77777777" w:rsidR="00D44A0F" w:rsidRDefault="00D44A0F" w:rsidP="005421CB">
      <w:pPr>
        <w:spacing w:after="0" w:line="240" w:lineRule="auto"/>
      </w:pPr>
      <w:r>
        <w:separator/>
      </w:r>
    </w:p>
  </w:endnote>
  <w:endnote w:type="continuationSeparator" w:id="0">
    <w:p w14:paraId="4ADB17F2" w14:textId="77777777" w:rsidR="00D44A0F" w:rsidRDefault="00D44A0F" w:rsidP="0054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Black">
    <w:altName w:val="Helvetica LT Std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24EB" w14:textId="77777777" w:rsidR="00000000" w:rsidRPr="00BC25E9" w:rsidRDefault="00DF45FD" w:rsidP="00DF45F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9000"/>
      </w:tabs>
      <w:rPr>
        <w:rFonts w:ascii="Arial" w:hAnsi="Arial" w:cs="Arial"/>
        <w:sz w:val="16"/>
        <w:szCs w:val="16"/>
        <w:lang w:bidi="en-US"/>
      </w:rPr>
    </w:pPr>
    <w:r w:rsidRPr="005421CB">
      <w:rPr>
        <w:rFonts w:ascii="Arial" w:hAnsi="Arial" w:cs="Arial"/>
        <w:sz w:val="16"/>
        <w:szCs w:val="16"/>
      </w:rPr>
      <w:t>BCHC/</w:t>
    </w:r>
    <w:r>
      <w:rPr>
        <w:rFonts w:ascii="Arial" w:hAnsi="Arial" w:cs="Arial"/>
        <w:sz w:val="16"/>
        <w:szCs w:val="16"/>
      </w:rPr>
      <w:t>BLM/</w:t>
    </w:r>
    <w:r w:rsidRPr="005421CB">
      <w:rPr>
        <w:rFonts w:ascii="Arial" w:hAnsi="Arial" w:cs="Arial"/>
        <w:sz w:val="16"/>
        <w:szCs w:val="16"/>
      </w:rPr>
      <w:t>PCTA/USFS</w:t>
    </w:r>
    <w:r>
      <w:rPr>
        <w:rFonts w:ascii="Arial" w:hAnsi="Arial" w:cs="Arial"/>
        <w:sz w:val="16"/>
        <w:szCs w:val="16"/>
      </w:rPr>
      <w:t xml:space="preserve"> Partnership</w:t>
    </w:r>
    <w:r w:rsidR="00F17514" w:rsidRPr="00BC25E9">
      <w:rPr>
        <w:rFonts w:ascii="Arial" w:hAnsi="Arial" w:cs="Arial"/>
        <w:sz w:val="16"/>
        <w:szCs w:val="16"/>
        <w:lang w:bidi="en-US"/>
      </w:rPr>
      <w:tab/>
      <w:t xml:space="preserve">Page </w:t>
    </w:r>
    <w:r w:rsidR="00D2416D" w:rsidRPr="00BC25E9">
      <w:rPr>
        <w:rFonts w:ascii="Arial" w:hAnsi="Arial" w:cs="Arial"/>
        <w:sz w:val="16"/>
        <w:szCs w:val="16"/>
        <w:lang w:bidi="en-US"/>
      </w:rPr>
      <w:fldChar w:fldCharType="begin"/>
    </w:r>
    <w:r w:rsidR="00F17514" w:rsidRPr="00BC25E9">
      <w:rPr>
        <w:rFonts w:ascii="Arial" w:hAnsi="Arial" w:cs="Arial"/>
        <w:sz w:val="16"/>
        <w:szCs w:val="16"/>
        <w:lang w:bidi="en-US"/>
      </w:rPr>
      <w:instrText xml:space="preserve"> PAGE </w:instrText>
    </w:r>
    <w:r w:rsidR="00D2416D" w:rsidRPr="00BC25E9">
      <w:rPr>
        <w:rFonts w:ascii="Arial" w:hAnsi="Arial" w:cs="Arial"/>
        <w:sz w:val="16"/>
        <w:szCs w:val="16"/>
        <w:lang w:bidi="en-US"/>
      </w:rPr>
      <w:fldChar w:fldCharType="separate"/>
    </w:r>
    <w:r w:rsidR="007F693E">
      <w:rPr>
        <w:rFonts w:ascii="Arial" w:hAnsi="Arial" w:cs="Arial"/>
        <w:noProof/>
        <w:sz w:val="16"/>
        <w:szCs w:val="16"/>
        <w:lang w:bidi="en-US"/>
      </w:rPr>
      <w:t>3</w:t>
    </w:r>
    <w:r w:rsidR="00D2416D" w:rsidRPr="00BC25E9">
      <w:rPr>
        <w:rFonts w:ascii="Arial" w:hAnsi="Arial" w:cs="Arial"/>
        <w:sz w:val="16"/>
        <w:szCs w:val="16"/>
      </w:rPr>
      <w:fldChar w:fldCharType="end"/>
    </w:r>
    <w:r w:rsidR="00F17514" w:rsidRPr="00BC25E9">
      <w:rPr>
        <w:rFonts w:ascii="Arial" w:hAnsi="Arial" w:cs="Arial"/>
        <w:sz w:val="16"/>
        <w:szCs w:val="16"/>
        <w:lang w:bidi="en-US"/>
      </w:rPr>
      <w:t xml:space="preserve"> of </w:t>
    </w:r>
    <w:r w:rsidR="00D2416D" w:rsidRPr="00BC25E9">
      <w:rPr>
        <w:rFonts w:ascii="Arial" w:hAnsi="Arial" w:cs="Arial"/>
        <w:sz w:val="16"/>
        <w:szCs w:val="16"/>
        <w:lang w:bidi="en-US"/>
      </w:rPr>
      <w:fldChar w:fldCharType="begin"/>
    </w:r>
    <w:r w:rsidR="00F17514" w:rsidRPr="00BC25E9">
      <w:rPr>
        <w:rFonts w:ascii="Arial" w:hAnsi="Arial" w:cs="Arial"/>
        <w:sz w:val="16"/>
        <w:szCs w:val="16"/>
        <w:lang w:bidi="en-US"/>
      </w:rPr>
      <w:instrText xml:space="preserve"> NUMPAGES </w:instrText>
    </w:r>
    <w:r w:rsidR="00D2416D" w:rsidRPr="00BC25E9">
      <w:rPr>
        <w:rFonts w:ascii="Arial" w:hAnsi="Arial" w:cs="Arial"/>
        <w:sz w:val="16"/>
        <w:szCs w:val="16"/>
        <w:lang w:bidi="en-US"/>
      </w:rPr>
      <w:fldChar w:fldCharType="separate"/>
    </w:r>
    <w:r w:rsidR="007F693E">
      <w:rPr>
        <w:rFonts w:ascii="Arial" w:hAnsi="Arial" w:cs="Arial"/>
        <w:noProof/>
        <w:sz w:val="16"/>
        <w:szCs w:val="16"/>
        <w:lang w:bidi="en-US"/>
      </w:rPr>
      <w:t>3</w:t>
    </w:r>
    <w:r w:rsidR="00D2416D" w:rsidRPr="00BC25E9">
      <w:rPr>
        <w:rFonts w:ascii="Arial" w:hAnsi="Arial" w:cs="Arial"/>
        <w:sz w:val="16"/>
        <w:szCs w:val="16"/>
      </w:rPr>
      <w:fldChar w:fldCharType="end"/>
    </w:r>
  </w:p>
  <w:p w14:paraId="42D824EC" w14:textId="77777777" w:rsidR="00000000" w:rsidRPr="00BC25E9" w:rsidRDefault="0060468E" w:rsidP="00BB6C4E">
    <w:pPr>
      <w:pStyle w:val="Footer"/>
      <w:tabs>
        <w:tab w:val="clear" w:pos="4680"/>
        <w:tab w:val="clear" w:pos="9360"/>
        <w:tab w:val="right" w:pos="9000"/>
      </w:tabs>
      <w:rPr>
        <w:rFonts w:ascii="Arial" w:hAnsi="Arial" w:cs="Arial"/>
        <w:sz w:val="16"/>
        <w:szCs w:val="16"/>
        <w:lang w:bidi="en-US"/>
      </w:rPr>
    </w:pPr>
    <w:r>
      <w:rPr>
        <w:rFonts w:ascii="Arial" w:hAnsi="Arial" w:cs="Arial"/>
        <w:sz w:val="16"/>
        <w:szCs w:val="16"/>
      </w:rPr>
      <w:t>Volunteer Packer Reimbursement</w:t>
    </w:r>
    <w:r w:rsidR="00E5500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Program</w:t>
    </w:r>
    <w:r w:rsidR="00F17514" w:rsidRPr="00BC25E9">
      <w:rPr>
        <w:rFonts w:ascii="Arial" w:hAnsi="Arial" w:cs="Arial"/>
        <w:sz w:val="16"/>
        <w:szCs w:val="16"/>
        <w:lang w:bidi="en-US"/>
      </w:rPr>
      <w:tab/>
    </w:r>
    <w:r w:rsidR="002A6018">
      <w:rPr>
        <w:rFonts w:ascii="Arial" w:hAnsi="Arial" w:cs="Arial"/>
        <w:sz w:val="16"/>
        <w:szCs w:val="16"/>
        <w:lang w:bidi="en-US"/>
      </w:rPr>
      <w:t>July 25,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24ED" w14:textId="77777777" w:rsidR="005421CB" w:rsidRPr="005421CB" w:rsidRDefault="005421CB" w:rsidP="005421CB">
    <w:pPr>
      <w:pStyle w:val="Footer"/>
      <w:pBdr>
        <w:top w:val="single" w:sz="4" w:space="1" w:color="auto"/>
      </w:pBdr>
      <w:tabs>
        <w:tab w:val="clear" w:pos="4680"/>
      </w:tabs>
      <w:rPr>
        <w:rFonts w:ascii="Arial" w:hAnsi="Arial" w:cs="Arial"/>
        <w:b/>
        <w:sz w:val="16"/>
        <w:szCs w:val="16"/>
      </w:rPr>
    </w:pPr>
    <w:r w:rsidRPr="005421CB">
      <w:rPr>
        <w:rFonts w:ascii="Arial" w:hAnsi="Arial" w:cs="Arial"/>
        <w:sz w:val="16"/>
        <w:szCs w:val="16"/>
      </w:rPr>
      <w:tab/>
      <w:t xml:space="preserve">Page </w:t>
    </w:r>
    <w:r w:rsidR="00D2416D" w:rsidRPr="005421CB">
      <w:rPr>
        <w:rFonts w:ascii="Arial" w:hAnsi="Arial" w:cs="Arial"/>
        <w:sz w:val="16"/>
        <w:szCs w:val="16"/>
      </w:rPr>
      <w:fldChar w:fldCharType="begin"/>
    </w:r>
    <w:r w:rsidRPr="005421CB">
      <w:rPr>
        <w:rFonts w:ascii="Arial" w:hAnsi="Arial" w:cs="Arial"/>
        <w:sz w:val="16"/>
        <w:szCs w:val="16"/>
      </w:rPr>
      <w:instrText xml:space="preserve"> PAGE   \* MERGEFORMAT </w:instrText>
    </w:r>
    <w:r w:rsidR="00D2416D" w:rsidRPr="005421CB">
      <w:rPr>
        <w:rFonts w:ascii="Arial" w:hAnsi="Arial" w:cs="Arial"/>
        <w:sz w:val="16"/>
        <w:szCs w:val="16"/>
      </w:rPr>
      <w:fldChar w:fldCharType="separate"/>
    </w:r>
    <w:r w:rsidR="00B416AE">
      <w:rPr>
        <w:rFonts w:ascii="Arial" w:hAnsi="Arial" w:cs="Arial"/>
        <w:noProof/>
        <w:sz w:val="16"/>
        <w:szCs w:val="16"/>
      </w:rPr>
      <w:t>1</w:t>
    </w:r>
    <w:r w:rsidR="00D2416D" w:rsidRPr="005421CB">
      <w:rPr>
        <w:rFonts w:ascii="Arial" w:hAnsi="Arial" w:cs="Arial"/>
        <w:sz w:val="16"/>
        <w:szCs w:val="16"/>
      </w:rPr>
      <w:fldChar w:fldCharType="end"/>
    </w:r>
  </w:p>
  <w:p w14:paraId="42D824EE" w14:textId="77777777" w:rsidR="005421CB" w:rsidRPr="005421CB" w:rsidRDefault="005421CB" w:rsidP="005421CB">
    <w:pPr>
      <w:tabs>
        <w:tab w:val="right" w:pos="9360"/>
      </w:tabs>
      <w:rPr>
        <w:rFonts w:ascii="Arial" w:hAnsi="Arial" w:cs="Arial"/>
        <w:sz w:val="16"/>
        <w:szCs w:val="16"/>
      </w:rPr>
    </w:pPr>
    <w:r w:rsidRPr="005421CB">
      <w:rPr>
        <w:rFonts w:ascii="Arial" w:hAnsi="Arial" w:cs="Arial"/>
        <w:sz w:val="16"/>
        <w:szCs w:val="16"/>
      </w:rPr>
      <w:t>BCHC/PCTA/USFS</w:t>
    </w:r>
    <w:r w:rsidR="0078633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 Roles and Responsibilities</w:t>
    </w:r>
    <w:r w:rsidRPr="005421CB">
      <w:rPr>
        <w:rFonts w:ascii="Arial" w:hAnsi="Arial" w:cs="Arial"/>
        <w:sz w:val="16"/>
        <w:szCs w:val="16"/>
      </w:rPr>
      <w:tab/>
    </w:r>
    <w:r w:rsidR="00786331">
      <w:rPr>
        <w:rFonts w:ascii="Arial" w:hAnsi="Arial" w:cs="Arial"/>
        <w:sz w:val="16"/>
        <w:szCs w:val="16"/>
      </w:rPr>
      <w:t>February 23,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3E7C" w14:textId="77777777" w:rsidR="00D44A0F" w:rsidRDefault="00D44A0F" w:rsidP="005421CB">
      <w:pPr>
        <w:spacing w:after="0" w:line="240" w:lineRule="auto"/>
      </w:pPr>
      <w:r>
        <w:separator/>
      </w:r>
    </w:p>
  </w:footnote>
  <w:footnote w:type="continuationSeparator" w:id="0">
    <w:p w14:paraId="5FAAF187" w14:textId="77777777" w:rsidR="00D44A0F" w:rsidRDefault="00D44A0F" w:rsidP="0054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949"/>
    <w:multiLevelType w:val="hybridMultilevel"/>
    <w:tmpl w:val="77C89EDC"/>
    <w:lvl w:ilvl="0" w:tplc="93DE2B8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536"/>
    <w:multiLevelType w:val="hybridMultilevel"/>
    <w:tmpl w:val="4F9C81D0"/>
    <w:lvl w:ilvl="0" w:tplc="93DE2B8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FA0"/>
    <w:multiLevelType w:val="hybridMultilevel"/>
    <w:tmpl w:val="12386772"/>
    <w:lvl w:ilvl="0" w:tplc="21180B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0F93"/>
    <w:multiLevelType w:val="hybridMultilevel"/>
    <w:tmpl w:val="3378CC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BB3497"/>
    <w:multiLevelType w:val="hybridMultilevel"/>
    <w:tmpl w:val="71D67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A0FA2"/>
    <w:multiLevelType w:val="hybridMultilevel"/>
    <w:tmpl w:val="7812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2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0A8C"/>
    <w:multiLevelType w:val="hybridMultilevel"/>
    <w:tmpl w:val="3B0EDF9E"/>
    <w:lvl w:ilvl="0" w:tplc="838E7A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2558F"/>
    <w:multiLevelType w:val="hybridMultilevel"/>
    <w:tmpl w:val="0AA8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210"/>
    <w:multiLevelType w:val="hybridMultilevel"/>
    <w:tmpl w:val="FFB44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05B56"/>
    <w:multiLevelType w:val="hybridMultilevel"/>
    <w:tmpl w:val="8C7A9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C5829"/>
    <w:multiLevelType w:val="hybridMultilevel"/>
    <w:tmpl w:val="DDE66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75C7"/>
    <w:multiLevelType w:val="hybridMultilevel"/>
    <w:tmpl w:val="48E85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66CE6"/>
    <w:multiLevelType w:val="hybridMultilevel"/>
    <w:tmpl w:val="7390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968"/>
    <w:multiLevelType w:val="hybridMultilevel"/>
    <w:tmpl w:val="C29A1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B753A"/>
    <w:multiLevelType w:val="hybridMultilevel"/>
    <w:tmpl w:val="01F8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267788"/>
    <w:multiLevelType w:val="hybridMultilevel"/>
    <w:tmpl w:val="622EF4E8"/>
    <w:lvl w:ilvl="0" w:tplc="403CA5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A38BA"/>
    <w:multiLevelType w:val="hybridMultilevel"/>
    <w:tmpl w:val="E3F25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24506"/>
    <w:multiLevelType w:val="hybridMultilevel"/>
    <w:tmpl w:val="5A862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0229D"/>
    <w:multiLevelType w:val="hybridMultilevel"/>
    <w:tmpl w:val="21A4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81873"/>
    <w:multiLevelType w:val="hybridMultilevel"/>
    <w:tmpl w:val="76A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4E4A"/>
    <w:multiLevelType w:val="hybridMultilevel"/>
    <w:tmpl w:val="5460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F0166"/>
    <w:multiLevelType w:val="multilevel"/>
    <w:tmpl w:val="AFC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8F0C45"/>
    <w:multiLevelType w:val="hybridMultilevel"/>
    <w:tmpl w:val="CBFE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C0A7E"/>
    <w:multiLevelType w:val="hybridMultilevel"/>
    <w:tmpl w:val="494C4B80"/>
    <w:lvl w:ilvl="0" w:tplc="D96A757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768B8"/>
    <w:multiLevelType w:val="hybridMultilevel"/>
    <w:tmpl w:val="63CC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6590C"/>
    <w:multiLevelType w:val="hybridMultilevel"/>
    <w:tmpl w:val="D4EC1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0EE0"/>
    <w:multiLevelType w:val="hybridMultilevel"/>
    <w:tmpl w:val="92EE5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1675A"/>
    <w:multiLevelType w:val="hybridMultilevel"/>
    <w:tmpl w:val="F1BE9804"/>
    <w:lvl w:ilvl="0" w:tplc="EF04E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854F5"/>
    <w:multiLevelType w:val="hybridMultilevel"/>
    <w:tmpl w:val="F842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16D6A"/>
    <w:multiLevelType w:val="hybridMultilevel"/>
    <w:tmpl w:val="90D0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C528D"/>
    <w:multiLevelType w:val="hybridMultilevel"/>
    <w:tmpl w:val="78B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27AD"/>
    <w:multiLevelType w:val="hybridMultilevel"/>
    <w:tmpl w:val="8832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B1FE3"/>
    <w:multiLevelType w:val="hybridMultilevel"/>
    <w:tmpl w:val="F49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A349D"/>
    <w:multiLevelType w:val="hybridMultilevel"/>
    <w:tmpl w:val="34A4E890"/>
    <w:lvl w:ilvl="0" w:tplc="D7F09F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5685">
    <w:abstractNumId w:val="4"/>
  </w:num>
  <w:num w:numId="2" w16cid:durableId="642075737">
    <w:abstractNumId w:val="14"/>
  </w:num>
  <w:num w:numId="3" w16cid:durableId="1810317816">
    <w:abstractNumId w:val="16"/>
  </w:num>
  <w:num w:numId="4" w16cid:durableId="1825201085">
    <w:abstractNumId w:val="17"/>
  </w:num>
  <w:num w:numId="5" w16cid:durableId="897592226">
    <w:abstractNumId w:val="11"/>
  </w:num>
  <w:num w:numId="6" w16cid:durableId="1749575900">
    <w:abstractNumId w:val="13"/>
  </w:num>
  <w:num w:numId="7" w16cid:durableId="39402044">
    <w:abstractNumId w:val="9"/>
  </w:num>
  <w:num w:numId="8" w16cid:durableId="1078137206">
    <w:abstractNumId w:val="12"/>
  </w:num>
  <w:num w:numId="9" w16cid:durableId="415055910">
    <w:abstractNumId w:val="3"/>
  </w:num>
  <w:num w:numId="10" w16cid:durableId="13697093">
    <w:abstractNumId w:val="29"/>
  </w:num>
  <w:num w:numId="11" w16cid:durableId="2099402174">
    <w:abstractNumId w:val="26"/>
  </w:num>
  <w:num w:numId="12" w16cid:durableId="9115051">
    <w:abstractNumId w:val="10"/>
  </w:num>
  <w:num w:numId="13" w16cid:durableId="1037506653">
    <w:abstractNumId w:val="32"/>
  </w:num>
  <w:num w:numId="14" w16cid:durableId="138116536">
    <w:abstractNumId w:val="6"/>
  </w:num>
  <w:num w:numId="15" w16cid:durableId="515270999">
    <w:abstractNumId w:val="7"/>
  </w:num>
  <w:num w:numId="16" w16cid:durableId="1195194746">
    <w:abstractNumId w:val="18"/>
  </w:num>
  <w:num w:numId="17" w16cid:durableId="1526597355">
    <w:abstractNumId w:val="33"/>
  </w:num>
  <w:num w:numId="18" w16cid:durableId="1625889712">
    <w:abstractNumId w:val="28"/>
  </w:num>
  <w:num w:numId="19" w16cid:durableId="1513686223">
    <w:abstractNumId w:val="24"/>
  </w:num>
  <w:num w:numId="20" w16cid:durableId="817186468">
    <w:abstractNumId w:val="2"/>
  </w:num>
  <w:num w:numId="21" w16cid:durableId="1584143178">
    <w:abstractNumId w:val="20"/>
  </w:num>
  <w:num w:numId="22" w16cid:durableId="2128772388">
    <w:abstractNumId w:val="30"/>
  </w:num>
  <w:num w:numId="23" w16cid:durableId="459809025">
    <w:abstractNumId w:val="15"/>
  </w:num>
  <w:num w:numId="24" w16cid:durableId="241062850">
    <w:abstractNumId w:val="19"/>
  </w:num>
  <w:num w:numId="25" w16cid:durableId="2067335922">
    <w:abstractNumId w:val="8"/>
  </w:num>
  <w:num w:numId="26" w16cid:durableId="1438914869">
    <w:abstractNumId w:val="22"/>
  </w:num>
  <w:num w:numId="27" w16cid:durableId="1708527175">
    <w:abstractNumId w:val="31"/>
  </w:num>
  <w:num w:numId="28" w16cid:durableId="1213729039">
    <w:abstractNumId w:val="25"/>
  </w:num>
  <w:num w:numId="29" w16cid:durableId="1878154932">
    <w:abstractNumId w:val="5"/>
  </w:num>
  <w:num w:numId="30" w16cid:durableId="116417941">
    <w:abstractNumId w:val="1"/>
  </w:num>
  <w:num w:numId="31" w16cid:durableId="1470980314">
    <w:abstractNumId w:val="0"/>
  </w:num>
  <w:num w:numId="32" w16cid:durableId="1635063664">
    <w:abstractNumId w:val="27"/>
  </w:num>
  <w:num w:numId="33" w16cid:durableId="604970491">
    <w:abstractNumId w:val="23"/>
  </w:num>
  <w:num w:numId="34" w16cid:durableId="185363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248"/>
    <w:rsid w:val="00025AFA"/>
    <w:rsid w:val="000C243A"/>
    <w:rsid w:val="000C44A8"/>
    <w:rsid w:val="000D5100"/>
    <w:rsid w:val="0010316E"/>
    <w:rsid w:val="00141C48"/>
    <w:rsid w:val="0015364B"/>
    <w:rsid w:val="00177783"/>
    <w:rsid w:val="001A399A"/>
    <w:rsid w:val="001B6F36"/>
    <w:rsid w:val="001C00E0"/>
    <w:rsid w:val="001C3003"/>
    <w:rsid w:val="00202B67"/>
    <w:rsid w:val="002306C4"/>
    <w:rsid w:val="00236027"/>
    <w:rsid w:val="00256CEA"/>
    <w:rsid w:val="002670C5"/>
    <w:rsid w:val="002A6018"/>
    <w:rsid w:val="002B312B"/>
    <w:rsid w:val="002B7A7C"/>
    <w:rsid w:val="002E5B10"/>
    <w:rsid w:val="00316864"/>
    <w:rsid w:val="00330623"/>
    <w:rsid w:val="0033067F"/>
    <w:rsid w:val="00354498"/>
    <w:rsid w:val="003643C1"/>
    <w:rsid w:val="003B0AE4"/>
    <w:rsid w:val="003C3B2B"/>
    <w:rsid w:val="003C454F"/>
    <w:rsid w:val="00424CBF"/>
    <w:rsid w:val="0043331C"/>
    <w:rsid w:val="004376BA"/>
    <w:rsid w:val="00464135"/>
    <w:rsid w:val="00490F3C"/>
    <w:rsid w:val="00493019"/>
    <w:rsid w:val="0049564F"/>
    <w:rsid w:val="004A7595"/>
    <w:rsid w:val="005421CB"/>
    <w:rsid w:val="00544327"/>
    <w:rsid w:val="00557248"/>
    <w:rsid w:val="005576AF"/>
    <w:rsid w:val="005B359E"/>
    <w:rsid w:val="005C5D64"/>
    <w:rsid w:val="005F1183"/>
    <w:rsid w:val="005F3A19"/>
    <w:rsid w:val="005F3E0A"/>
    <w:rsid w:val="005F6EAB"/>
    <w:rsid w:val="00602CF5"/>
    <w:rsid w:val="006044CC"/>
    <w:rsid w:val="0060468E"/>
    <w:rsid w:val="00606979"/>
    <w:rsid w:val="006137CE"/>
    <w:rsid w:val="00633A47"/>
    <w:rsid w:val="00634ACC"/>
    <w:rsid w:val="006538F2"/>
    <w:rsid w:val="00687CED"/>
    <w:rsid w:val="00693A1D"/>
    <w:rsid w:val="006B168A"/>
    <w:rsid w:val="006B6D27"/>
    <w:rsid w:val="006F1F6F"/>
    <w:rsid w:val="007500BD"/>
    <w:rsid w:val="00751533"/>
    <w:rsid w:val="00782900"/>
    <w:rsid w:val="00786331"/>
    <w:rsid w:val="007866A0"/>
    <w:rsid w:val="00794885"/>
    <w:rsid w:val="007A4D91"/>
    <w:rsid w:val="007C4F5C"/>
    <w:rsid w:val="007E17FA"/>
    <w:rsid w:val="007F693E"/>
    <w:rsid w:val="00807286"/>
    <w:rsid w:val="00831AA1"/>
    <w:rsid w:val="00842C60"/>
    <w:rsid w:val="00857290"/>
    <w:rsid w:val="00874597"/>
    <w:rsid w:val="00876B81"/>
    <w:rsid w:val="00877786"/>
    <w:rsid w:val="00895B76"/>
    <w:rsid w:val="008A5E28"/>
    <w:rsid w:val="008B23C6"/>
    <w:rsid w:val="008B6D14"/>
    <w:rsid w:val="00927DFA"/>
    <w:rsid w:val="00933750"/>
    <w:rsid w:val="00971B2B"/>
    <w:rsid w:val="00974599"/>
    <w:rsid w:val="0099462B"/>
    <w:rsid w:val="009A0127"/>
    <w:rsid w:val="009B45C1"/>
    <w:rsid w:val="009D5D50"/>
    <w:rsid w:val="00A64703"/>
    <w:rsid w:val="00A81F52"/>
    <w:rsid w:val="00A8346C"/>
    <w:rsid w:val="00AA6BBA"/>
    <w:rsid w:val="00AE52CE"/>
    <w:rsid w:val="00B416AE"/>
    <w:rsid w:val="00B51509"/>
    <w:rsid w:val="00B86FEB"/>
    <w:rsid w:val="00BB39AF"/>
    <w:rsid w:val="00BB6C4E"/>
    <w:rsid w:val="00BD7E52"/>
    <w:rsid w:val="00BF1FBB"/>
    <w:rsid w:val="00BF52FF"/>
    <w:rsid w:val="00C053FD"/>
    <w:rsid w:val="00C41398"/>
    <w:rsid w:val="00CB2DB4"/>
    <w:rsid w:val="00CD189F"/>
    <w:rsid w:val="00D007B2"/>
    <w:rsid w:val="00D007D0"/>
    <w:rsid w:val="00D2416D"/>
    <w:rsid w:val="00D44A0F"/>
    <w:rsid w:val="00D46672"/>
    <w:rsid w:val="00D66AB1"/>
    <w:rsid w:val="00D767CC"/>
    <w:rsid w:val="00D80406"/>
    <w:rsid w:val="00D85322"/>
    <w:rsid w:val="00DB33A9"/>
    <w:rsid w:val="00DD5384"/>
    <w:rsid w:val="00DE385B"/>
    <w:rsid w:val="00DF45FD"/>
    <w:rsid w:val="00E20A7E"/>
    <w:rsid w:val="00E244C7"/>
    <w:rsid w:val="00E55007"/>
    <w:rsid w:val="00E645FE"/>
    <w:rsid w:val="00E870DE"/>
    <w:rsid w:val="00E96657"/>
    <w:rsid w:val="00EB6C17"/>
    <w:rsid w:val="00ED3AC1"/>
    <w:rsid w:val="00ED5F24"/>
    <w:rsid w:val="00EF1443"/>
    <w:rsid w:val="00EF2C95"/>
    <w:rsid w:val="00F00D15"/>
    <w:rsid w:val="00F02134"/>
    <w:rsid w:val="00F0308B"/>
    <w:rsid w:val="00F03587"/>
    <w:rsid w:val="00F17514"/>
    <w:rsid w:val="00FA11BB"/>
    <w:rsid w:val="00FA4795"/>
    <w:rsid w:val="00FC00D2"/>
    <w:rsid w:val="00FC5B3B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24A6"/>
  <w15:docId w15:val="{88F71A49-CA88-43E3-88DA-D9AA257A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8"/>
  </w:style>
  <w:style w:type="paragraph" w:styleId="Heading1">
    <w:name w:val="heading 1"/>
    <w:basedOn w:val="Normal"/>
    <w:next w:val="Normal"/>
    <w:link w:val="Heading1Char"/>
    <w:uiPriority w:val="9"/>
    <w:qFormat/>
    <w:rsid w:val="00BF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48"/>
  </w:style>
  <w:style w:type="paragraph" w:styleId="ListParagraph">
    <w:name w:val="List Paragraph"/>
    <w:basedOn w:val="Normal"/>
    <w:uiPriority w:val="34"/>
    <w:qFormat/>
    <w:rsid w:val="00557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1CB"/>
  </w:style>
  <w:style w:type="character" w:customStyle="1" w:styleId="Heading1Char">
    <w:name w:val="Heading 1 Char"/>
    <w:basedOn w:val="DefaultParagraphFont"/>
    <w:link w:val="Heading1"/>
    <w:uiPriority w:val="9"/>
    <w:rsid w:val="00BF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1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F1FBB"/>
    <w:pPr>
      <w:spacing w:after="0" w:line="240" w:lineRule="auto"/>
    </w:pPr>
  </w:style>
  <w:style w:type="character" w:customStyle="1" w:styleId="bodytext">
    <w:name w:val="bodytext"/>
    <w:basedOn w:val="DefaultParagraphFont"/>
    <w:rsid w:val="00BF1FBB"/>
  </w:style>
  <w:style w:type="character" w:styleId="Hyperlink">
    <w:name w:val="Hyperlink"/>
    <w:basedOn w:val="DefaultParagraphFont"/>
    <w:uiPriority w:val="99"/>
    <w:unhideWhenUsed/>
    <w:rsid w:val="00BF1FBB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BF1FBB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BF1FBB"/>
    <w:rPr>
      <w:b/>
      <w:bCs/>
      <w:smallCaps/>
      <w:color w:val="C0504D" w:themeColor="accent2"/>
      <w:spacing w:val="5"/>
      <w:u w:val="single"/>
    </w:rPr>
  </w:style>
  <w:style w:type="paragraph" w:customStyle="1" w:styleId="Pa10">
    <w:name w:val="Pa10"/>
    <w:basedOn w:val="Normal"/>
    <w:next w:val="Normal"/>
    <w:uiPriority w:val="99"/>
    <w:rsid w:val="00FC5B3B"/>
    <w:pPr>
      <w:autoSpaceDE w:val="0"/>
      <w:autoSpaceDN w:val="0"/>
      <w:adjustRightInd w:val="0"/>
      <w:spacing w:after="0" w:line="281" w:lineRule="atLeast"/>
    </w:pPr>
    <w:rPr>
      <w:rFonts w:ascii="Helvetica LT Std Black" w:hAnsi="Helvetica LT Std Black"/>
      <w:sz w:val="24"/>
      <w:szCs w:val="24"/>
    </w:rPr>
  </w:style>
  <w:style w:type="table" w:styleId="TableGrid">
    <w:name w:val="Table Grid"/>
    <w:basedOn w:val="TableNormal"/>
    <w:uiPriority w:val="59"/>
    <w:rsid w:val="001B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267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6885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3754">
                              <w:marLeft w:val="2263"/>
                              <w:marRight w:val="43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6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usda.gov/FSI_Directives/wo_183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7D94-83F7-4F31-AEB6-4FCE6643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1372</Words>
  <Characters>5873</Characters>
  <Application>Microsoft Office Word</Application>
  <DocSecurity>0</DocSecurity>
  <Lines>127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jtripp</dc:creator>
  <cp:lastModifiedBy>Teresa Raichart</cp:lastModifiedBy>
  <cp:revision>16</cp:revision>
  <cp:lastPrinted>2014-06-19T22:21:00Z</cp:lastPrinted>
  <dcterms:created xsi:type="dcterms:W3CDTF">2013-07-25T17:31:00Z</dcterms:created>
  <dcterms:modified xsi:type="dcterms:W3CDTF">2026-01-13T21:31:00Z</dcterms:modified>
</cp:coreProperties>
</file>